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008FF" w:rsidR="008736FC" w:rsidP="000008FF" w:rsidRDefault="000008FF" w14:paraId="43A604D0" w14:textId="77777777">
      <w:pPr>
        <w:pStyle w:val="BodyTextBLLP"/>
        <w:spacing w:after="0"/>
        <w:ind w:firstLine="0"/>
        <w:jc w:val="center"/>
        <w:rPr>
          <w:b/>
        </w:rPr>
      </w:pPr>
      <w:r w:rsidRPr="000008FF">
        <w:rPr>
          <w:b/>
        </w:rPr>
        <w:t>Summary of Russia/Ukraine-Related Sanctions</w:t>
      </w:r>
    </w:p>
    <w:p w:rsidRPr="000008FF" w:rsidR="000008FF" w:rsidP="000008FF" w:rsidRDefault="00416460" w14:paraId="531374AE" w14:textId="2EB70BF9">
      <w:pPr>
        <w:pStyle w:val="BodyTextBLLP"/>
        <w:ind w:firstLine="0"/>
        <w:jc w:val="center"/>
        <w:rPr>
          <w:b/>
        </w:rPr>
      </w:pPr>
      <w:r>
        <w:rPr>
          <w:b/>
        </w:rPr>
        <w:t>December 2023</w:t>
      </w:r>
    </w:p>
    <w:p w:rsidR="000008FF" w:rsidP="00E550F6" w:rsidRDefault="000008FF" w14:paraId="2C701E3D" w14:textId="2AAC7D7E">
      <w:pPr>
        <w:pStyle w:val="BodyTextBLLP"/>
        <w:jc w:val="both"/>
      </w:pPr>
      <w:r>
        <w:t xml:space="preserve">The United States has imposed </w:t>
      </w:r>
      <w:r w:rsidR="00E550F6">
        <w:t xml:space="preserve">certain </w:t>
      </w:r>
      <w:r>
        <w:t>economic sanctions</w:t>
      </w:r>
      <w:r w:rsidR="00E550F6">
        <w:t xml:space="preserve"> (summarized below)</w:t>
      </w:r>
      <w:r>
        <w:t xml:space="preserve"> in response to the Russian-</w:t>
      </w:r>
      <w:r w:rsidR="00416460">
        <w:t>led</w:t>
      </w:r>
      <w:r>
        <w:t xml:space="preserve"> actions </w:t>
      </w:r>
      <w:r w:rsidR="001C631A">
        <w:t>in</w:t>
      </w:r>
      <w:r>
        <w:t xml:space="preserve"> Ukraine.  </w:t>
      </w:r>
      <w:r w:rsidR="00E550F6">
        <w:t>The C</w:t>
      </w:r>
      <w:r w:rsidR="009A41CF">
        <w:t>harles Stewart</w:t>
      </w:r>
      <w:r w:rsidR="00E550F6">
        <w:t xml:space="preserve"> Mott Foundation is responsible for ensuring that its grant funds are not used, directly or indirectly, in violation of these sanctions.  Thus, as a condition to receiving a grant from the Foundation, Ukrainian grantees must certify that grant funds will not be used in a manner that violates the sanctions.</w:t>
      </w:r>
    </w:p>
    <w:p w:rsidR="00201150" w:rsidP="00201150" w:rsidRDefault="00201150" w14:paraId="6444DAA2" w14:textId="7D10905A">
      <w:pPr>
        <w:pStyle w:val="BodyTextBLLP"/>
        <w:jc w:val="both"/>
      </w:pPr>
      <w:r>
        <w:t xml:space="preserve">The Executive Orders summarized below prohibit U.S. persons (such as the Foundation) from making </w:t>
      </w:r>
      <w:r w:rsidR="00790888">
        <w:t>or</w:t>
      </w:r>
      <w:r>
        <w:t xml:space="preserve"> receiving contributions and providing funds, </w:t>
      </w:r>
      <w:proofErr w:type="gramStart"/>
      <w:r>
        <w:t>goods</w:t>
      </w:r>
      <w:proofErr w:type="gramEnd"/>
      <w:r>
        <w:t xml:space="preserve"> or services to or for the benefit of any sanctioned individual or entity.  The sanctioned individuals and entities are listed at: </w:t>
      </w:r>
      <w:hyperlink w:history="1" r:id="rId8">
        <w:r w:rsidRPr="004D72D0">
          <w:rPr>
            <w:rStyle w:val="Hyperlink"/>
          </w:rPr>
          <w:t>https://sdnsearch.ofac.treas.gov/</w:t>
        </w:r>
      </w:hyperlink>
      <w:r w:rsidR="00CE53C6">
        <w:t>.  In addition to complyi</w:t>
      </w:r>
      <w:r w:rsidR="00BA6505">
        <w:t xml:space="preserve">ng with all list-checking and other requirements set forth in the grant commitment letter, Ukrainian grantees must confirm that any </w:t>
      </w:r>
      <w:r w:rsidR="00790888">
        <w:t xml:space="preserve">secondary </w:t>
      </w:r>
      <w:r w:rsidR="00BA6505">
        <w:t xml:space="preserve">recipient of Foundation grant funds is not a sanctioned individual or entity.  </w:t>
      </w:r>
    </w:p>
    <w:p w:rsidR="000008FF" w:rsidP="00BA6505" w:rsidRDefault="000008FF" w14:paraId="408455D6" w14:textId="1231126E">
      <w:pPr>
        <w:pStyle w:val="BodyTextBLLP"/>
        <w:jc w:val="both"/>
      </w:pPr>
      <w:r w:rsidRPr="00E550F6">
        <w:rPr>
          <w:b/>
        </w:rPr>
        <w:t xml:space="preserve">Executive Order 13660 of March 6, </w:t>
      </w:r>
      <w:proofErr w:type="gramStart"/>
      <w:r w:rsidRPr="00E550F6">
        <w:rPr>
          <w:b/>
        </w:rPr>
        <w:t>2014</w:t>
      </w:r>
      <w:proofErr w:type="gramEnd"/>
      <w:r w:rsidR="00315FDB">
        <w:rPr>
          <w:b/>
        </w:rPr>
        <w:t xml:space="preserve"> </w:t>
      </w:r>
      <w:r w:rsidR="00315FDB">
        <w:t>imposes sanctions on individuals and entities that have asserted governmental authority in the Crimea region of Ukraine without authorization of the Government of Ukraine</w:t>
      </w:r>
      <w:r w:rsidR="00201150">
        <w:t>,</w:t>
      </w:r>
      <w:r w:rsidR="00315FDB">
        <w:t xml:space="preserve"> or are responsible for undermining democratic processes in Ukraine, violating the sovereignty and territorial integrity of Ukraine, or for stealing assets of the Ukrainian people.  </w:t>
      </w:r>
      <w:r w:rsidRPr="00E550F6" w:rsidR="00E550F6">
        <w:t xml:space="preserve">These sanctions </w:t>
      </w:r>
      <w:r w:rsidR="00315FDB">
        <w:t xml:space="preserve">also </w:t>
      </w:r>
      <w:r w:rsidRPr="00E550F6" w:rsidR="00E550F6">
        <w:t>put in place restrictions on the travel of certain individuals and officials.</w:t>
      </w:r>
    </w:p>
    <w:p w:rsidR="00BA6505" w:rsidP="00BA6505" w:rsidRDefault="00B91D58" w14:paraId="2FDDDC8B" w14:textId="77777777">
      <w:pPr>
        <w:pStyle w:val="BodyTextBLLP"/>
        <w:jc w:val="both"/>
      </w:pPr>
      <w:r w:rsidRPr="00B91D58">
        <w:rPr>
          <w:b/>
        </w:rPr>
        <w:t xml:space="preserve">Executive Order 13661 of March 16, </w:t>
      </w:r>
      <w:proofErr w:type="gramStart"/>
      <w:r w:rsidRPr="00B91D58">
        <w:rPr>
          <w:b/>
        </w:rPr>
        <w:t>2014</w:t>
      </w:r>
      <w:proofErr w:type="gramEnd"/>
      <w:r>
        <w:t xml:space="preserve"> expands the sanctions imposed under Executive Order 13660 to individuals and entities that are officials of the Government of Russia or that operate in the arms or related material sector in Russia.</w:t>
      </w:r>
    </w:p>
    <w:p w:rsidR="00D16E47" w:rsidP="00BA6505" w:rsidRDefault="002C5F8C" w14:paraId="6D628640" w14:textId="77777777">
      <w:pPr>
        <w:pStyle w:val="BodyTextBLLP"/>
        <w:jc w:val="both"/>
      </w:pPr>
      <w:r w:rsidRPr="002C5F8C">
        <w:rPr>
          <w:b/>
        </w:rPr>
        <w:t>Executive Order 13662 of March 20, 2014</w:t>
      </w:r>
      <w:r>
        <w:t xml:space="preserve"> expands the sanctions imposed under Executive Order 13660 to individuals and entities that operate in certain </w:t>
      </w:r>
      <w:r w:rsidR="00196F57">
        <w:t>sectors of the Russian economy (c</w:t>
      </w:r>
      <w:r w:rsidR="00D16E47">
        <w:t xml:space="preserve">urrently, the </w:t>
      </w:r>
      <w:r w:rsidR="003A6F94">
        <w:t xml:space="preserve">financial services, </w:t>
      </w:r>
      <w:r w:rsidR="00D16E47">
        <w:t>energy</w:t>
      </w:r>
      <w:r w:rsidR="003A6F94">
        <w:t>, and defense and related material sectors</w:t>
      </w:r>
      <w:r w:rsidR="00196F57">
        <w:t>)</w:t>
      </w:r>
      <w:r w:rsidR="003A6F94">
        <w:t xml:space="preserve">.  Extending financing </w:t>
      </w:r>
      <w:r w:rsidR="00DC0F14">
        <w:t>longer than 30 days in maturity</w:t>
      </w:r>
      <w:r w:rsidR="003A6F94">
        <w:t xml:space="preserve"> to persons in those sectors (90 days in the case of the energy sector) is prohibited.  The provision of goods, services or technology in support of exploration or production for </w:t>
      </w:r>
      <w:proofErr w:type="spellStart"/>
      <w:r w:rsidR="003A6F94">
        <w:t>deepwater</w:t>
      </w:r>
      <w:proofErr w:type="spellEnd"/>
      <w:r w:rsidR="003A6F94">
        <w:t>, Arctic offshore or shale projects that have the potential to produce oil in Russia, or in maritime area claimed by Russia, are also prohibited.</w:t>
      </w:r>
    </w:p>
    <w:p w:rsidR="00080D77" w:rsidP="00BA6505" w:rsidRDefault="00D16E47" w14:paraId="77C54992" w14:textId="47240A63">
      <w:pPr>
        <w:pStyle w:val="BodyTextBLLP"/>
        <w:jc w:val="both"/>
      </w:pPr>
      <w:r w:rsidRPr="003A6F94">
        <w:rPr>
          <w:b/>
        </w:rPr>
        <w:t xml:space="preserve">Executive Order 13685 of December 19, </w:t>
      </w:r>
      <w:proofErr w:type="gramStart"/>
      <w:r w:rsidRPr="003A6F94">
        <w:rPr>
          <w:b/>
        </w:rPr>
        <w:t>2014</w:t>
      </w:r>
      <w:proofErr w:type="gramEnd"/>
      <w:r>
        <w:t xml:space="preserve"> </w:t>
      </w:r>
      <w:r w:rsidR="003A6F94">
        <w:t xml:space="preserve">expands the sanctions imposed under Executive Order 13660 to individuals and entities that operate in the Crimea region of Ukraine.  It also prohibits </w:t>
      </w:r>
      <w:r w:rsidR="00196F57">
        <w:t>new investment in Crimea, the importation into the United States of goods, services or technology from Crimea, and the exportation or supply (directly or indirectly) by a U.S. person of any goods, services or technology to Crimea.</w:t>
      </w:r>
    </w:p>
    <w:p w:rsidR="00416460" w:rsidP="00416460" w:rsidRDefault="00416460" w14:paraId="04F2F75B" w14:textId="1C54A642">
      <w:pPr>
        <w:autoSpaceDE w:val="0"/>
        <w:autoSpaceDN w:val="0"/>
        <w:adjustRightInd w:val="0"/>
        <w:snapToGrid w:val="0"/>
        <w:jc w:val="both"/>
        <w:rPr>
          <w:rFonts w:ascii="TimesNewRoman" w:hAnsi="TimesNewRoman" w:cs="TimesNewRoman"/>
          <w:color w:val="000000"/>
          <w:szCs w:val="24"/>
        </w:rPr>
      </w:pPr>
      <w:r>
        <w:rPr>
          <w:rFonts w:ascii="TimesNewRoman" w:hAnsi="TimesNewRoman" w:cs="TimesNewRoman"/>
          <w:color w:val="000000"/>
          <w:szCs w:val="24"/>
          <w:lang w:val="x-none"/>
        </w:rPr>
        <w:tab/>
      </w:r>
      <w:r>
        <w:rPr>
          <w:rFonts w:ascii="TimesNewRoman" w:hAnsi="TimesNewRoman" w:cs="TimesNewRoman"/>
          <w:b/>
          <w:color w:val="000000"/>
          <w:szCs w:val="24"/>
          <w:lang w:val="x-none"/>
        </w:rPr>
        <w:t xml:space="preserve">Executive Order 14065 of </w:t>
      </w:r>
      <w:r>
        <w:rPr>
          <w:rFonts w:ascii="TimesNewRoman" w:hAnsi="TimesNewRoman" w:cs="TimesNewRoman"/>
          <w:b/>
          <w:color w:val="000000"/>
          <w:szCs w:val="24"/>
        </w:rPr>
        <w:t xml:space="preserve">February 21, </w:t>
      </w:r>
      <w:r>
        <w:rPr>
          <w:rFonts w:ascii="TimesNewRoman" w:hAnsi="TimesNewRoman" w:cs="TimesNewRoman"/>
          <w:b/>
          <w:color w:val="000000"/>
          <w:szCs w:val="24"/>
          <w:lang w:val="x-none"/>
        </w:rPr>
        <w:t xml:space="preserve">2022 </w:t>
      </w:r>
      <w:r>
        <w:rPr>
          <w:rFonts w:ascii="TimesNewRoman" w:hAnsi="TimesNewRoman" w:cs="TimesNewRoman"/>
          <w:color w:val="000000"/>
          <w:szCs w:val="24"/>
          <w:lang w:val="x-none"/>
        </w:rPr>
        <w:t>expands the scope of Executive Order 13660 to</w:t>
      </w:r>
      <w:r w:rsidR="0055762A">
        <w:rPr>
          <w:rFonts w:ascii="TimesNewRoman" w:hAnsi="TimesNewRoman" w:cs="TimesNewRoman"/>
          <w:color w:val="000000"/>
          <w:szCs w:val="24"/>
        </w:rPr>
        <w:t xml:space="preserve"> individuals and entities that operate (or have operated since February 21, 2022) in</w:t>
      </w:r>
      <w:r>
        <w:rPr>
          <w:rFonts w:ascii="TimesNewRoman" w:hAnsi="TimesNewRoman" w:cs="TimesNewRoman"/>
          <w:color w:val="000000"/>
          <w:szCs w:val="24"/>
          <w:lang w:val="x-none"/>
        </w:rPr>
        <w:t xml:space="preserve"> the so-called Donetsk People’s Republic (“DNR”) </w:t>
      </w:r>
      <w:r w:rsidR="0055762A">
        <w:rPr>
          <w:rFonts w:ascii="TimesNewRoman" w:hAnsi="TimesNewRoman" w:cs="TimesNewRoman"/>
          <w:color w:val="000000"/>
          <w:szCs w:val="24"/>
        </w:rPr>
        <w:t>region of Ukraine, the</w:t>
      </w:r>
      <w:r>
        <w:rPr>
          <w:rFonts w:ascii="TimesNewRoman" w:hAnsi="TimesNewRoman" w:cs="TimesNewRoman"/>
          <w:color w:val="000000"/>
          <w:szCs w:val="24"/>
          <w:lang w:val="x-none"/>
        </w:rPr>
        <w:t xml:space="preserve"> Luhansk People’s Republic (“LNR”) region of Ukraine</w:t>
      </w:r>
      <w:r w:rsidR="0055762A">
        <w:rPr>
          <w:rFonts w:ascii="TimesNewRoman" w:hAnsi="TimesNewRoman" w:cs="TimesNewRoman"/>
          <w:color w:val="000000"/>
          <w:szCs w:val="24"/>
        </w:rPr>
        <w:t>,</w:t>
      </w:r>
      <w:r>
        <w:rPr>
          <w:rFonts w:ascii="TimesNewRoman" w:hAnsi="TimesNewRoman" w:cs="TimesNewRoman"/>
          <w:color w:val="000000"/>
          <w:szCs w:val="24"/>
          <w:lang w:val="x-none"/>
        </w:rPr>
        <w:t xml:space="preserve"> </w:t>
      </w:r>
      <w:r w:rsidR="0055762A">
        <w:rPr>
          <w:rFonts w:ascii="TimesNewRoman" w:hAnsi="TimesNewRoman" w:cs="TimesNewRoman"/>
          <w:color w:val="000000"/>
          <w:szCs w:val="24"/>
        </w:rPr>
        <w:t>or</w:t>
      </w:r>
      <w:r>
        <w:rPr>
          <w:rFonts w:ascii="TimesNewRoman" w:hAnsi="TimesNewRoman" w:cs="TimesNewRoman"/>
          <w:color w:val="000000"/>
          <w:szCs w:val="24"/>
          <w:lang w:val="x-none"/>
        </w:rPr>
        <w:t xml:space="preserve"> </w:t>
      </w:r>
      <w:r w:rsidR="00E35360">
        <w:rPr>
          <w:rFonts w:ascii="TimesNewRoman" w:hAnsi="TimesNewRoman" w:cs="TimesNewRoman"/>
          <w:color w:val="000000"/>
          <w:szCs w:val="24"/>
        </w:rPr>
        <w:t>any</w:t>
      </w:r>
      <w:r>
        <w:rPr>
          <w:rFonts w:ascii="TimesNewRoman" w:hAnsi="TimesNewRoman" w:cs="TimesNewRoman"/>
          <w:color w:val="000000"/>
          <w:szCs w:val="24"/>
          <w:lang w:val="x-none"/>
        </w:rPr>
        <w:t xml:space="preserve"> other region of Ukraine </w:t>
      </w:r>
      <w:r w:rsidR="00E35360">
        <w:rPr>
          <w:rFonts w:ascii="TimesNewRoman" w:hAnsi="TimesNewRoman" w:cs="TimesNewRoman"/>
          <w:color w:val="000000"/>
          <w:szCs w:val="24"/>
        </w:rPr>
        <w:t>that</w:t>
      </w:r>
      <w:r>
        <w:rPr>
          <w:rFonts w:ascii="TimesNewRoman" w:hAnsi="TimesNewRoman" w:cs="TimesNewRoman"/>
          <w:color w:val="000000"/>
          <w:szCs w:val="24"/>
          <w:lang w:val="x-none"/>
        </w:rPr>
        <w:t xml:space="preserve"> the</w:t>
      </w:r>
      <w:r w:rsidR="00E35360">
        <w:rPr>
          <w:rFonts w:ascii="TimesNewRoman" w:hAnsi="TimesNewRoman" w:cs="TimesNewRoman"/>
          <w:color w:val="000000"/>
          <w:szCs w:val="24"/>
        </w:rPr>
        <w:t xml:space="preserve"> U.S.</w:t>
      </w:r>
      <w:r>
        <w:rPr>
          <w:rFonts w:ascii="TimesNewRoman" w:hAnsi="TimesNewRoman" w:cs="TimesNewRoman"/>
          <w:color w:val="000000"/>
          <w:szCs w:val="24"/>
          <w:lang w:val="x-none"/>
        </w:rPr>
        <w:t xml:space="preserve"> Secretary of the Treasury </w:t>
      </w:r>
      <w:r w:rsidR="00E35360">
        <w:rPr>
          <w:rFonts w:ascii="TimesNewRoman" w:hAnsi="TimesNewRoman" w:cs="TimesNewRoman"/>
          <w:color w:val="000000"/>
          <w:szCs w:val="24"/>
        </w:rPr>
        <w:t xml:space="preserve">determines to be covered by this Executive Order </w:t>
      </w:r>
      <w:r w:rsidR="0055762A">
        <w:rPr>
          <w:rFonts w:ascii="TimesNewRoman" w:hAnsi="TimesNewRoman" w:cs="TimesNewRoman"/>
          <w:color w:val="000000"/>
          <w:szCs w:val="24"/>
        </w:rPr>
        <w:t>(</w:t>
      </w:r>
      <w:r>
        <w:rPr>
          <w:rFonts w:ascii="TimesNewRoman" w:hAnsi="TimesNewRoman" w:cs="TimesNewRoman"/>
          <w:color w:val="000000"/>
          <w:szCs w:val="24"/>
          <w:lang w:val="x-none"/>
        </w:rPr>
        <w:t xml:space="preserve">collectively referred to as the “Covered Regions”). </w:t>
      </w:r>
      <w:r>
        <w:rPr>
          <w:rFonts w:ascii="TimesNewRoman" w:hAnsi="TimesNewRoman" w:cs="TimesNewRoman"/>
          <w:color w:val="000000"/>
          <w:szCs w:val="24"/>
        </w:rPr>
        <w:t xml:space="preserve"> </w:t>
      </w:r>
      <w:r w:rsidR="00206787">
        <w:rPr>
          <w:rFonts w:ascii="TimesNewRoman" w:hAnsi="TimesNewRoman" w:cs="TimesNewRoman"/>
          <w:color w:val="000000"/>
          <w:szCs w:val="24"/>
        </w:rPr>
        <w:t>It</w:t>
      </w:r>
      <w:r>
        <w:rPr>
          <w:rFonts w:ascii="TimesNewRoman" w:hAnsi="TimesNewRoman" w:cs="TimesNewRoman"/>
          <w:color w:val="000000"/>
          <w:szCs w:val="24"/>
          <w:lang w:val="x-none"/>
        </w:rPr>
        <w:t xml:space="preserve"> </w:t>
      </w:r>
      <w:r w:rsidR="0055762A">
        <w:t xml:space="preserve">also prohibits new investment in </w:t>
      </w:r>
      <w:r w:rsidR="0055762A">
        <w:t>a Covered Region</w:t>
      </w:r>
      <w:r w:rsidR="0055762A">
        <w:t xml:space="preserve">, the importation into </w:t>
      </w:r>
      <w:r w:rsidR="0055762A">
        <w:lastRenderedPageBreak/>
        <w:t xml:space="preserve">the United States of goods, services or technology from </w:t>
      </w:r>
      <w:r w:rsidR="0055762A">
        <w:t>a Covered Region</w:t>
      </w:r>
      <w:r w:rsidR="0055762A">
        <w:t xml:space="preserve">, and the exportation or supply (directly or indirectly) by a U.S. person of any goods, </w:t>
      </w:r>
      <w:proofErr w:type="gramStart"/>
      <w:r w:rsidR="0055762A">
        <w:t>services</w:t>
      </w:r>
      <w:proofErr w:type="gramEnd"/>
      <w:r w:rsidR="0055762A">
        <w:t xml:space="preserve"> or technology to </w:t>
      </w:r>
      <w:r w:rsidR="0055762A">
        <w:t>a Covered Region</w:t>
      </w:r>
      <w:r>
        <w:rPr>
          <w:rFonts w:ascii="TimesNewRoman" w:hAnsi="TimesNewRoman" w:cs="TimesNewRoman"/>
          <w:color w:val="000000"/>
          <w:szCs w:val="24"/>
        </w:rPr>
        <w:t>.</w:t>
      </w:r>
    </w:p>
    <w:p w:rsidR="00416460" w:rsidP="00416460" w:rsidRDefault="00416460" w14:paraId="4CAEE79A" w14:textId="6CF7E751">
      <w:pPr>
        <w:autoSpaceDE w:val="0"/>
        <w:autoSpaceDN w:val="0"/>
        <w:adjustRightInd w:val="0"/>
        <w:snapToGrid w:val="0"/>
        <w:jc w:val="both"/>
        <w:rPr>
          <w:rFonts w:ascii="TimesNewRoman" w:hAnsi="TimesNewRoman" w:cs="TimesNewRoman"/>
          <w:color w:val="000000"/>
          <w:szCs w:val="24"/>
        </w:rPr>
      </w:pPr>
    </w:p>
    <w:p w:rsidR="00BA6505" w:rsidP="00BA6505" w:rsidRDefault="00BA6505" w14:paraId="4AB138C1" w14:textId="2FF5ADA7">
      <w:pPr>
        <w:pStyle w:val="BodyTextBLLP"/>
        <w:jc w:val="both"/>
      </w:pPr>
      <w:r>
        <w:t>Copies of Executive Orders 13660, 13661, 13662</w:t>
      </w:r>
      <w:r w:rsidR="00416460">
        <w:t xml:space="preserve">, </w:t>
      </w:r>
      <w:r w:rsidRPr="00416460">
        <w:t>13685</w:t>
      </w:r>
      <w:r w:rsidRPr="00416460" w:rsidR="00416460">
        <w:t xml:space="preserve">, </w:t>
      </w:r>
      <w:r w:rsidR="00E35360">
        <w:rPr>
          <w:rFonts w:ascii="TimesNewRoman" w:hAnsi="TimesNewRoman" w:cs="TimesNewRoman"/>
          <w:color w:val="000000"/>
          <w:szCs w:val="24"/>
        </w:rPr>
        <w:t>and</w:t>
      </w:r>
      <w:r w:rsidR="00677CF1">
        <w:rPr>
          <w:rFonts w:ascii="TimesNewRoman" w:hAnsi="TimesNewRoman" w:cs="TimesNewRoman"/>
          <w:color w:val="000000"/>
          <w:szCs w:val="24"/>
        </w:rPr>
        <w:t xml:space="preserve"> </w:t>
      </w:r>
      <w:r w:rsidRPr="00416460" w:rsidR="00416460">
        <w:rPr>
          <w:rFonts w:ascii="TimesNewRoman" w:hAnsi="TimesNewRoman" w:cs="TimesNewRoman"/>
          <w:color w:val="000000"/>
          <w:szCs w:val="24"/>
        </w:rPr>
        <w:t>14065</w:t>
      </w:r>
      <w:r w:rsidR="00677CF1">
        <w:rPr>
          <w:rFonts w:ascii="TimesNewRoman" w:hAnsi="TimesNewRoman" w:cs="TimesNewRoman"/>
          <w:color w:val="000000"/>
          <w:szCs w:val="24"/>
        </w:rPr>
        <w:t xml:space="preserve"> </w:t>
      </w:r>
      <w:r>
        <w:t>are attached.</w:t>
      </w:r>
    </w:p>
    <w:sectPr w:rsidR="00BA6505" w:rsidSect="006C400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8FF" w:rsidRDefault="000008FF" w14:paraId="3A7B95E8" w14:textId="77777777">
      <w:r>
        <w:separator/>
      </w:r>
    </w:p>
  </w:endnote>
  <w:endnote w:type="continuationSeparator" w:id="0">
    <w:p w:rsidR="000008FF" w:rsidRDefault="000008FF" w14:paraId="61AC84F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2E57" w:rsidP="004B2FBE" w:rsidRDefault="00972E57" w14:paraId="77FF8863"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r>
      <w:rPr>
        <w:rStyle w:val="PageNumber"/>
      </w:rPr>
      <w:t>11</w:t>
    </w:r>
  </w:p>
  <w:p w:rsidR="00972E57" w:rsidP="004B2FBE" w:rsidRDefault="00972E57" w14:paraId="21203182" w14:textId="77777777">
    <w:pPr>
      <w:pStyle w:val="Footer"/>
      <w:ind w:right="360"/>
    </w:pPr>
  </w:p>
  <w:p w:rsidR="00972E57" w:rsidP="004B2FBE" w:rsidRDefault="00972E57" w14:paraId="6B17FF4C" w14:textId="77777777"/>
  <w:p w:rsidR="00972E57" w:rsidP="004B2FBE" w:rsidRDefault="00972E57" w14:paraId="12A9F3DC" w14:textId="77777777">
    <w:pPr>
      <w:pStyle w:val="DocID"/>
    </w:pPr>
    <w:bookmarkStart w:name="_iDocIDFieldc0ea5fb4-b4fb-4301-8c26-b3c1" w:id="0"/>
    <w:r>
      <w:rPr>
        <w:noProof/>
      </w:rPr>
      <w:t>Detroit_5284069_1</w:t>
    </w:r>
    <w:bookmarkEnd w:id="0"/>
  </w:p>
  <w:bookmarkStart w:name="_iDocIDFieldea56ca63-3ca6-4372-963c-b5bf" w:id="1"/>
  <w:p w:rsidR="00972E57" w:rsidRDefault="00972E57" w14:paraId="1CFCEC1B" w14:textId="77777777">
    <w:pPr>
      <w:pStyle w:val="DocID"/>
    </w:pPr>
    <w:r>
      <w:rPr>
        <w:noProof/>
      </w:rPr>
      <w:t>4892-6128-8598_2</w:t>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33816" w:rsidR="00972E57" w:rsidP="00233816" w:rsidRDefault="00972E57" w14:paraId="30904C63" w14:textId="77777777">
    <w:pPr>
      <w:pStyle w:val="Footer"/>
      <w:jc w:val="center"/>
      <w:rPr>
        <w:sz w:val="24"/>
        <w:szCs w:val="24"/>
      </w:rPr>
    </w:pPr>
    <w:r w:rsidRPr="008736FC">
      <w:rPr>
        <w:sz w:val="24"/>
        <w:szCs w:val="24"/>
      </w:rPr>
      <w:fldChar w:fldCharType="begin"/>
    </w:r>
    <w:r w:rsidRPr="008736FC">
      <w:rPr>
        <w:sz w:val="24"/>
        <w:szCs w:val="24"/>
      </w:rPr>
      <w:instrText xml:space="preserve"> PAGE   \* MERGEFORMAT </w:instrText>
    </w:r>
    <w:r w:rsidRPr="008736FC">
      <w:rPr>
        <w:sz w:val="24"/>
        <w:szCs w:val="24"/>
      </w:rPr>
      <w:fldChar w:fldCharType="separate"/>
    </w:r>
    <w:r>
      <w:rPr>
        <w:sz w:val="24"/>
        <w:szCs w:val="24"/>
      </w:rPr>
      <w:t>1</w:t>
    </w:r>
    <w:r w:rsidRPr="008736FC">
      <w:rPr>
        <w:noProof/>
        <w:sz w:val="24"/>
        <w:szCs w:val="24"/>
      </w:rPr>
      <w:fldChar w:fldCharType="end"/>
    </w:r>
  </w:p>
  <w:bookmarkStart w:name="_iDocIDField4a8f7f5a-f7e0-4102-a3de-175b" w:id="2"/>
  <w:p w:rsidR="00972E57" w:rsidRDefault="00972E57" w14:paraId="2ACF3900" w14:textId="77777777">
    <w:pPr>
      <w:pStyle w:val="DocID"/>
    </w:pPr>
    <w:r>
      <w:rPr>
        <w:noProof/>
      </w:rPr>
      <w:t>4892-6128-8598_2</w:t>
    </w:r>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iDocIDField819447e9-e6da-4761-9b62-1e72" w:id="3"/>
  <w:p w:rsidR="00972E57" w:rsidRDefault="00972E57" w14:paraId="767FE955" w14:textId="77777777">
    <w:pPr>
      <w:pStyle w:val="DocID"/>
    </w:pPr>
    <w:r>
      <w:rPr>
        <w:noProof/>
      </w:rPr>
      <w:t>4892-6128-8598_2</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8FF" w:rsidRDefault="000008FF" w14:paraId="0BDB25AC" w14:textId="77777777">
      <w:r>
        <w:separator/>
      </w:r>
    </w:p>
  </w:footnote>
  <w:footnote w:type="continuationSeparator" w:id="0">
    <w:p w:rsidR="000008FF" w:rsidRDefault="000008FF" w14:paraId="655CD03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6414" w:rsidRDefault="00CA6414" w14:paraId="0752F00F" w14:textId="77777777">
    <w:pPr>
      <w:pStyle w:val="Head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A6414" w:rsidRDefault="00CA6414" w14:paraId="13D019C9" w14:textId="77777777">
    <w:pPr>
      <w:pStyle w:val="Header"/>
      <w:ind w:right="360"/>
    </w:pPr>
  </w:p>
  <w:p w:rsidR="00CA6414" w:rsidRDefault="00CA6414" w14:paraId="3179FF8C" w14:textId="77777777"/>
  <w:p w:rsidR="00CA6414" w:rsidRDefault="00CA6414" w14:paraId="304D7B4C"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5A82" w:rsidRDefault="00385A82" w14:paraId="6EC78A2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5A82" w:rsidRDefault="00385A82" w14:paraId="72CA68A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8F49B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F146F9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1285E2C"/>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4BC2AB9C"/>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DE7843EC"/>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A80C8738"/>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26A03410"/>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082E0CCB"/>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85F43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19E2379C"/>
    <w:multiLevelType w:val="singleLevel"/>
    <w:tmpl w:val="6BE22560"/>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210F0720"/>
    <w:multiLevelType w:val="hybridMultilevel"/>
    <w:tmpl w:val="0960EB36"/>
    <w:lvl w:ilvl="0" w:tplc="69428C6A">
      <w:start w:val="1"/>
      <w:numFmt w:val="bullet"/>
      <w:pStyle w:val="List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955E77"/>
    <w:multiLevelType w:val="hybridMultilevel"/>
    <w:tmpl w:val="805CBDD2"/>
    <w:lvl w:ilvl="0" w:tplc="6EC61EFE">
      <w:start w:val="1"/>
      <w:numFmt w:val="decimal"/>
      <w:pStyle w:val="ListNumb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AC04A7F"/>
    <w:multiLevelType w:val="singleLevel"/>
    <w:tmpl w:val="F7504BFE"/>
    <w:lvl w:ilvl="0">
      <w:start w:val="1"/>
      <w:numFmt w:val="decimal"/>
      <w:pStyle w:val="ListNumber1"/>
      <w:lvlText w:val="%1."/>
      <w:lvlJc w:val="left"/>
      <w:pPr>
        <w:tabs>
          <w:tab w:val="num" w:pos="360"/>
        </w:tabs>
        <w:ind w:left="360" w:hanging="360"/>
      </w:pPr>
    </w:lvl>
  </w:abstractNum>
  <w:abstractNum w:abstractNumId="13" w15:restartNumberingAfterBreak="0">
    <w:nsid w:val="67032737"/>
    <w:multiLevelType w:val="multilevel"/>
    <w:tmpl w:val="340C13F6"/>
    <w:lvl w:ilvl="0">
      <w:start w:val="1"/>
      <w:numFmt w:val="decimal"/>
      <w:pStyle w:val="Heading1"/>
      <w:lvlText w:val="%1."/>
      <w:lvlJc w:val="left"/>
      <w:pPr>
        <w:tabs>
          <w:tab w:val="num" w:pos="720"/>
        </w:tabs>
        <w:ind w:left="720" w:hanging="720"/>
      </w:pPr>
      <w:rPr>
        <w:rFonts w:hint="default"/>
        <w:b w:val="0"/>
        <w:i w:val="0"/>
      </w:rPr>
    </w:lvl>
    <w:lvl w:ilvl="1">
      <w:start w:val="1"/>
      <w:numFmt w:val="lowerLetter"/>
      <w:pStyle w:val="Heading2"/>
      <w:lvlText w:val="(%2)"/>
      <w:lvlJc w:val="left"/>
      <w:pPr>
        <w:tabs>
          <w:tab w:val="num" w:pos="1440"/>
        </w:tabs>
        <w:ind w:left="1440" w:hanging="720"/>
      </w:pPr>
      <w:rPr>
        <w:rFonts w:hint="default"/>
      </w:rPr>
    </w:lvl>
    <w:lvl w:ilvl="2">
      <w:start w:val="1"/>
      <w:numFmt w:val="lowerRoman"/>
      <w:pStyle w:val="Heading3"/>
      <w:lvlText w:val="(%3)"/>
      <w:lvlJc w:val="left"/>
      <w:pPr>
        <w:tabs>
          <w:tab w:val="num" w:pos="2160"/>
        </w:tabs>
        <w:ind w:left="2160" w:hanging="720"/>
      </w:pPr>
      <w:rPr>
        <w:rFonts w:hint="default"/>
      </w:rPr>
    </w:lvl>
    <w:lvl w:ilvl="3">
      <w:start w:val="1"/>
      <w:numFmt w:val="decimal"/>
      <w:pStyle w:val="Heading4"/>
      <w:lvlText w:val="(%4)"/>
      <w:lvlJc w:val="left"/>
      <w:pPr>
        <w:tabs>
          <w:tab w:val="num" w:pos="2880"/>
        </w:tabs>
        <w:ind w:left="2880" w:hanging="720"/>
      </w:pPr>
      <w:rPr>
        <w:rFonts w:hint="default"/>
      </w:rPr>
    </w:lvl>
    <w:lvl w:ilvl="4">
      <w:start w:val="1"/>
      <w:numFmt w:val="upperLetter"/>
      <w:pStyle w:val="Heading5"/>
      <w:lvlText w:val="(%5)"/>
      <w:lvlJc w:val="left"/>
      <w:pPr>
        <w:tabs>
          <w:tab w:val="num" w:pos="3600"/>
        </w:tabs>
        <w:ind w:left="3600" w:hanging="720"/>
      </w:pPr>
      <w:rPr>
        <w:rFonts w:hint="default"/>
      </w:rPr>
    </w:lvl>
    <w:lvl w:ilvl="5">
      <w:start w:val="1"/>
      <w:numFmt w:val="decimal"/>
      <w:pStyle w:val="Heading6"/>
      <w:lvlText w:val="(%6)"/>
      <w:lvlJc w:val="left"/>
      <w:pPr>
        <w:tabs>
          <w:tab w:val="num" w:pos="4320"/>
        </w:tabs>
        <w:ind w:left="4320" w:hanging="720"/>
      </w:pPr>
      <w:rPr>
        <w:rFonts w:hint="default"/>
      </w:rPr>
    </w:lvl>
    <w:lvl w:ilvl="6">
      <w:start w:val="1"/>
      <w:numFmt w:val="lowerRoman"/>
      <w:pStyle w:val="Heading7"/>
      <w:lvlText w:val="%7)"/>
      <w:lvlJc w:val="left"/>
      <w:pPr>
        <w:tabs>
          <w:tab w:val="num" w:pos="5040"/>
        </w:tabs>
        <w:ind w:left="5040" w:hanging="720"/>
      </w:pPr>
      <w:rPr>
        <w:rFonts w:hint="default"/>
      </w:rPr>
    </w:lvl>
    <w:lvl w:ilvl="7">
      <w:start w:val="1"/>
      <w:numFmt w:val="decimal"/>
      <w:pStyle w:val="Heading8"/>
      <w:lvlText w:val="%8."/>
      <w:lvlJc w:val="left"/>
      <w:pPr>
        <w:tabs>
          <w:tab w:val="num" w:pos="5760"/>
        </w:tabs>
        <w:ind w:left="5760" w:hanging="720"/>
      </w:pPr>
      <w:rPr>
        <w:rFonts w:hint="default"/>
      </w:rPr>
    </w:lvl>
    <w:lvl w:ilvl="8">
      <w:start w:val="1"/>
      <w:numFmt w:val="lowerLetter"/>
      <w:pStyle w:val="Heading9"/>
      <w:lvlText w:val="%9."/>
      <w:lvlJc w:val="left"/>
      <w:pPr>
        <w:tabs>
          <w:tab w:val="num" w:pos="6480"/>
        </w:tabs>
        <w:ind w:left="6480" w:hanging="720"/>
      </w:pPr>
      <w:rPr>
        <w:rFonts w:hint="default"/>
      </w:rPr>
    </w:lvl>
  </w:abstractNum>
  <w:abstractNum w:abstractNumId="14" w15:restartNumberingAfterBreak="0">
    <w:nsid w:val="7AFD184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772504032">
    <w:abstractNumId w:val="5"/>
  </w:num>
  <w:num w:numId="2" w16cid:durableId="1860772807">
    <w:abstractNumId w:val="4"/>
  </w:num>
  <w:num w:numId="3" w16cid:durableId="1212184612">
    <w:abstractNumId w:val="3"/>
  </w:num>
  <w:num w:numId="4" w16cid:durableId="498231636">
    <w:abstractNumId w:val="2"/>
  </w:num>
  <w:num w:numId="5" w16cid:durableId="1586840401">
    <w:abstractNumId w:val="1"/>
  </w:num>
  <w:num w:numId="6" w16cid:durableId="774861523">
    <w:abstractNumId w:val="0"/>
  </w:num>
  <w:num w:numId="7" w16cid:durableId="1686515604">
    <w:abstractNumId w:val="6"/>
  </w:num>
  <w:num w:numId="8" w16cid:durableId="873157472">
    <w:abstractNumId w:val="9"/>
  </w:num>
  <w:num w:numId="9" w16cid:durableId="654262787">
    <w:abstractNumId w:val="12"/>
  </w:num>
  <w:num w:numId="10" w16cid:durableId="712119389">
    <w:abstractNumId w:val="13"/>
  </w:num>
  <w:num w:numId="11" w16cid:durableId="306974688">
    <w:abstractNumId w:val="10"/>
  </w:num>
  <w:num w:numId="12" w16cid:durableId="452754102">
    <w:abstractNumId w:val="11"/>
  </w:num>
  <w:num w:numId="13" w16cid:durableId="1352952688">
    <w:abstractNumId w:val="14"/>
  </w:num>
  <w:num w:numId="14" w16cid:durableId="483280862">
    <w:abstractNumId w:val="7"/>
  </w:num>
  <w:num w:numId="15" w16cid:durableId="390467083">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8FF"/>
    <w:rsid w:val="000008FF"/>
    <w:rsid w:val="00003FC7"/>
    <w:rsid w:val="00053679"/>
    <w:rsid w:val="000602BB"/>
    <w:rsid w:val="00063C07"/>
    <w:rsid w:val="00080D77"/>
    <w:rsid w:val="00196F57"/>
    <w:rsid w:val="001C631A"/>
    <w:rsid w:val="00201150"/>
    <w:rsid w:val="00206787"/>
    <w:rsid w:val="002C5F8C"/>
    <w:rsid w:val="0030624C"/>
    <w:rsid w:val="00315FDB"/>
    <w:rsid w:val="00335991"/>
    <w:rsid w:val="0035608D"/>
    <w:rsid w:val="00385A82"/>
    <w:rsid w:val="00392EE4"/>
    <w:rsid w:val="003A6F94"/>
    <w:rsid w:val="003F1EFA"/>
    <w:rsid w:val="00416460"/>
    <w:rsid w:val="0055762A"/>
    <w:rsid w:val="005D29B0"/>
    <w:rsid w:val="005F14F3"/>
    <w:rsid w:val="00677CF1"/>
    <w:rsid w:val="006C2F83"/>
    <w:rsid w:val="006C4001"/>
    <w:rsid w:val="0073522B"/>
    <w:rsid w:val="00790888"/>
    <w:rsid w:val="007F535E"/>
    <w:rsid w:val="008736FC"/>
    <w:rsid w:val="008A0920"/>
    <w:rsid w:val="00951D36"/>
    <w:rsid w:val="00972E57"/>
    <w:rsid w:val="009A41CF"/>
    <w:rsid w:val="00A23025"/>
    <w:rsid w:val="00AD7F45"/>
    <w:rsid w:val="00B91D58"/>
    <w:rsid w:val="00B943C1"/>
    <w:rsid w:val="00B95721"/>
    <w:rsid w:val="00BA6505"/>
    <w:rsid w:val="00BB5BA2"/>
    <w:rsid w:val="00BD79A8"/>
    <w:rsid w:val="00C375D6"/>
    <w:rsid w:val="00CA6414"/>
    <w:rsid w:val="00CE53C6"/>
    <w:rsid w:val="00D16E47"/>
    <w:rsid w:val="00D36254"/>
    <w:rsid w:val="00D51A27"/>
    <w:rsid w:val="00D87071"/>
    <w:rsid w:val="00DB2470"/>
    <w:rsid w:val="00DC0F14"/>
    <w:rsid w:val="00E104DC"/>
    <w:rsid w:val="00E35360"/>
    <w:rsid w:val="00E550F6"/>
    <w:rsid w:val="00F31BB3"/>
    <w:rsid w:val="00F4425F"/>
    <w:rsid w:val="00FA6EA1"/>
    <w:rsid w:val="00FB3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F060811"/>
  <w15:docId w15:val="{C79FD44E-A964-4656-9CD4-542045B43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0624C"/>
    <w:rPr>
      <w:sz w:val="24"/>
    </w:rPr>
  </w:style>
  <w:style w:type="paragraph" w:styleId="Heading1">
    <w:name w:val="heading 1"/>
    <w:basedOn w:val="Heading"/>
    <w:next w:val="BodyTextBLLP"/>
    <w:qFormat/>
    <w:pPr>
      <w:numPr>
        <w:numId w:val="10"/>
      </w:numPr>
      <w:tabs>
        <w:tab w:val="clear" w:pos="720"/>
      </w:tabs>
      <w:outlineLvl w:val="0"/>
    </w:pPr>
  </w:style>
  <w:style w:type="paragraph" w:styleId="Heading2">
    <w:name w:val="heading 2"/>
    <w:basedOn w:val="Heading"/>
    <w:next w:val="BodyTextBLLP"/>
    <w:qFormat/>
    <w:pPr>
      <w:numPr>
        <w:ilvl w:val="1"/>
        <w:numId w:val="10"/>
      </w:numPr>
      <w:tabs>
        <w:tab w:val="clear" w:pos="1440"/>
      </w:tabs>
      <w:outlineLvl w:val="1"/>
    </w:pPr>
  </w:style>
  <w:style w:type="paragraph" w:styleId="Heading3">
    <w:name w:val="heading 3"/>
    <w:basedOn w:val="Heading"/>
    <w:next w:val="BodyTextBLLP"/>
    <w:qFormat/>
    <w:pPr>
      <w:numPr>
        <w:ilvl w:val="2"/>
        <w:numId w:val="10"/>
      </w:numPr>
      <w:tabs>
        <w:tab w:val="clear" w:pos="2160"/>
      </w:tabs>
      <w:outlineLvl w:val="2"/>
    </w:pPr>
  </w:style>
  <w:style w:type="paragraph" w:styleId="Heading4">
    <w:name w:val="heading 4"/>
    <w:basedOn w:val="Heading"/>
    <w:next w:val="BodyTextBLLP"/>
    <w:qFormat/>
    <w:pPr>
      <w:numPr>
        <w:ilvl w:val="3"/>
        <w:numId w:val="10"/>
      </w:numPr>
      <w:tabs>
        <w:tab w:val="clear" w:pos="2880"/>
      </w:tabs>
      <w:outlineLvl w:val="3"/>
    </w:pPr>
  </w:style>
  <w:style w:type="paragraph" w:styleId="Heading5">
    <w:name w:val="heading 5"/>
    <w:basedOn w:val="Heading"/>
    <w:next w:val="BodyTextBLLP"/>
    <w:qFormat/>
    <w:pPr>
      <w:numPr>
        <w:ilvl w:val="4"/>
        <w:numId w:val="10"/>
      </w:numPr>
      <w:outlineLvl w:val="4"/>
    </w:pPr>
  </w:style>
  <w:style w:type="paragraph" w:styleId="Heading6">
    <w:name w:val="heading 6"/>
    <w:basedOn w:val="Heading"/>
    <w:next w:val="BodyTextBLLP"/>
    <w:qFormat/>
    <w:pPr>
      <w:numPr>
        <w:ilvl w:val="5"/>
        <w:numId w:val="10"/>
      </w:numPr>
      <w:outlineLvl w:val="5"/>
    </w:pPr>
  </w:style>
  <w:style w:type="paragraph" w:styleId="Heading7">
    <w:name w:val="heading 7"/>
    <w:basedOn w:val="Heading"/>
    <w:next w:val="BodyTextBLLP"/>
    <w:qFormat/>
    <w:pPr>
      <w:numPr>
        <w:ilvl w:val="6"/>
        <w:numId w:val="10"/>
      </w:numPr>
      <w:outlineLvl w:val="6"/>
    </w:pPr>
  </w:style>
  <w:style w:type="paragraph" w:styleId="Heading8">
    <w:name w:val="heading 8"/>
    <w:basedOn w:val="Heading"/>
    <w:next w:val="BodyTextBLLP"/>
    <w:qFormat/>
    <w:pPr>
      <w:numPr>
        <w:ilvl w:val="7"/>
        <w:numId w:val="10"/>
      </w:numPr>
      <w:outlineLvl w:val="7"/>
    </w:pPr>
  </w:style>
  <w:style w:type="paragraph" w:styleId="Heading9">
    <w:name w:val="heading 9"/>
    <w:basedOn w:val="Heading"/>
    <w:next w:val="BodyTextBLLP"/>
    <w:qFormat/>
    <w:pPr>
      <w:numPr>
        <w:ilvl w:val="8"/>
        <w:numId w:val="10"/>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 w:customStyle="1">
    <w:name w:val="Heading"/>
    <w:basedOn w:val="Normal"/>
    <w:pPr>
      <w:spacing w:after="240"/>
    </w:pPr>
  </w:style>
  <w:style w:type="paragraph" w:styleId="BodyText2">
    <w:name w:val="Body Text 2"/>
    <w:basedOn w:val="Normal"/>
  </w:style>
  <w:style w:type="paragraph" w:styleId="BodyText3">
    <w:name w:val="Body Text 3"/>
    <w:basedOn w:val="Normal"/>
  </w:style>
  <w:style w:type="paragraph" w:styleId="Caption">
    <w:name w:val="caption"/>
    <w:basedOn w:val="Normal"/>
    <w:next w:val="Normal"/>
    <w:qFormat/>
    <w:rPr>
      <w:b/>
    </w:rPr>
  </w:style>
  <w:style w:type="paragraph" w:styleId="Closing">
    <w:name w:val="Closing"/>
    <w:basedOn w:val="Normal"/>
    <w:pPr>
      <w:ind w:left="4320"/>
    </w:pPr>
  </w:style>
  <w:style w:type="paragraph" w:styleId="CommentText">
    <w:name w:val="annotation text"/>
    <w:basedOn w:val="Normal"/>
    <w:link w:val="CommentTextChar"/>
    <w:semiHidden/>
  </w:style>
  <w:style w:type="paragraph" w:styleId="Company" w:customStyle="1">
    <w:name w:val="Company"/>
    <w:basedOn w:val="Normal"/>
    <w:pPr>
      <w:spacing w:after="240"/>
    </w:pPr>
  </w:style>
  <w:style w:type="paragraph" w:styleId="EndnoteText">
    <w:name w:val="endnote text"/>
    <w:basedOn w:val="Normal"/>
    <w:semiHidden/>
    <w:rPr>
      <w:sz w:val="20"/>
    </w:rPr>
  </w:style>
  <w:style w:type="paragraph" w:styleId="EnvelopeAddress">
    <w:name w:val="envelope address"/>
    <w:basedOn w:val="Normal"/>
    <w:pPr>
      <w:framePr w:w="7920" w:h="1980" w:hSpace="180" w:wrap="auto" w:hAnchor="page" w:xAlign="center" w:yAlign="bottom" w:hRule="exact"/>
      <w:ind w:left="2880"/>
    </w:pPr>
  </w:style>
  <w:style w:type="paragraph" w:styleId="EnvelopeReturn">
    <w:name w:val="envelope return"/>
    <w:basedOn w:val="Normal"/>
    <w:rPr>
      <w:sz w:val="20"/>
    </w:rPr>
  </w:style>
  <w:style w:type="paragraph" w:styleId="Footer">
    <w:name w:val="footer"/>
    <w:basedOn w:val="Normal"/>
    <w:pPr>
      <w:tabs>
        <w:tab w:val="center" w:pos="4680"/>
        <w:tab w:val="right" w:pos="9360"/>
      </w:tabs>
    </w:pPr>
    <w:rPr>
      <w:sz w:val="16"/>
    </w:rPr>
  </w:style>
  <w:style w:type="paragraph" w:styleId="FootnoteText">
    <w:name w:val="footnote text"/>
    <w:basedOn w:val="Normal"/>
    <w:pPr>
      <w:spacing w:after="120"/>
      <w:ind w:left="360" w:hanging="360"/>
    </w:pPr>
    <w:rPr>
      <w:sz w:val="20"/>
    </w:rPr>
  </w:style>
  <w:style w:type="paragraph" w:styleId="Header">
    <w:name w:val="header"/>
    <w:rPr>
      <w:noProof/>
      <w:sz w:val="24"/>
    </w:rPr>
  </w:style>
  <w:style w:type="paragraph" w:styleId="Index1">
    <w:name w:val="index 1"/>
    <w:basedOn w:val="Index"/>
    <w:next w:val="Normal"/>
    <w:autoRedefine/>
  </w:style>
  <w:style w:type="paragraph" w:styleId="Index" w:customStyle="1">
    <w:name w:val="Index"/>
    <w:basedOn w:val="Normal"/>
  </w:style>
  <w:style w:type="paragraph" w:styleId="Index2">
    <w:name w:val="index 2"/>
    <w:basedOn w:val="Index1"/>
    <w:next w:val="Normal"/>
    <w:autoRedefine/>
    <w:pPr>
      <w:ind w:left="360"/>
    </w:pPr>
  </w:style>
  <w:style w:type="paragraph" w:styleId="Index3">
    <w:name w:val="index 3"/>
    <w:basedOn w:val="Index2"/>
    <w:next w:val="Normal"/>
    <w:autoRedefine/>
    <w:pPr>
      <w:ind w:left="720"/>
    </w:pPr>
  </w:style>
  <w:style w:type="paragraph" w:styleId="Index4">
    <w:name w:val="index 4"/>
    <w:basedOn w:val="Index3"/>
    <w:next w:val="Normal"/>
    <w:autoRedefine/>
    <w:pPr>
      <w:ind w:left="1080"/>
    </w:pPr>
  </w:style>
  <w:style w:type="paragraph" w:styleId="Index5">
    <w:name w:val="index 5"/>
    <w:basedOn w:val="Index4"/>
    <w:next w:val="Normal"/>
    <w:autoRedefine/>
    <w:pPr>
      <w:ind w:left="1440"/>
    </w:pPr>
  </w:style>
  <w:style w:type="paragraph" w:styleId="Index6">
    <w:name w:val="index 6"/>
    <w:basedOn w:val="Index5"/>
    <w:next w:val="Normal"/>
    <w:autoRedefine/>
    <w:semiHidden/>
    <w:pPr>
      <w:ind w:left="1800"/>
    </w:pPr>
  </w:style>
  <w:style w:type="paragraph" w:styleId="Index7">
    <w:name w:val="index 7"/>
    <w:basedOn w:val="Index6"/>
    <w:next w:val="Normal"/>
    <w:autoRedefine/>
    <w:semiHidden/>
    <w:pPr>
      <w:ind w:left="2160"/>
    </w:pPr>
  </w:style>
  <w:style w:type="paragraph" w:styleId="Index8">
    <w:name w:val="index 8"/>
    <w:basedOn w:val="Index7"/>
    <w:next w:val="Normal"/>
    <w:autoRedefine/>
    <w:semiHidden/>
    <w:pPr>
      <w:ind w:left="2520"/>
    </w:pPr>
  </w:style>
  <w:style w:type="paragraph" w:styleId="Index9">
    <w:name w:val="index 9"/>
    <w:basedOn w:val="Index8"/>
    <w:next w:val="Normal"/>
    <w:autoRedefine/>
    <w:semiHidden/>
    <w:pPr>
      <w:ind w:left="2880"/>
    </w:pPr>
  </w:style>
  <w:style w:type="paragraph" w:styleId="IndexHeading">
    <w:name w:val="index heading"/>
    <w:basedOn w:val="Normal"/>
    <w:next w:val="Index1"/>
    <w:semiHidden/>
  </w:style>
  <w:style w:type="paragraph" w:styleId="ListContinue">
    <w:name w:val="List Continue"/>
    <w:basedOn w:val="Normal"/>
    <w:semiHidden/>
    <w:pPr>
      <w:spacing w:before="240"/>
    </w:pPr>
  </w:style>
  <w:style w:type="paragraph" w:styleId="ListContinue2">
    <w:name w:val="List Continue 2"/>
    <w:basedOn w:val="ListContinue"/>
    <w:semiHidden/>
    <w:pPr>
      <w:ind w:left="720"/>
    </w:pPr>
  </w:style>
  <w:style w:type="paragraph" w:styleId="ListContinue3">
    <w:name w:val="List Continue 3"/>
    <w:basedOn w:val="ListContinue"/>
    <w:semiHidden/>
    <w:pPr>
      <w:ind w:left="1440"/>
    </w:pPr>
  </w:style>
  <w:style w:type="paragraph" w:styleId="ListContinue4">
    <w:name w:val="List Continue 4"/>
    <w:basedOn w:val="ListContinue"/>
    <w:semiHidden/>
    <w:pPr>
      <w:ind w:left="2160"/>
    </w:pPr>
  </w:style>
  <w:style w:type="paragraph" w:styleId="ListContinue5">
    <w:name w:val="List Continue 5"/>
    <w:basedOn w:val="ListContinue"/>
    <w:semiHidden/>
    <w:pPr>
      <w:ind w:left="2880"/>
    </w:pPr>
  </w:style>
  <w:style w:type="character" w:styleId="PageNumber">
    <w:name w:val="page number"/>
    <w:basedOn w:val="DefaultParagraphFont"/>
    <w:rPr>
      <w:sz w:val="24"/>
    </w:rPr>
  </w:style>
  <w:style w:type="paragraph" w:styleId="TableofAuthorities">
    <w:name w:val="table of authorities"/>
    <w:basedOn w:val="Normal"/>
    <w:next w:val="Normal"/>
    <w:semiHidden/>
    <w:pPr>
      <w:ind w:left="240" w:hanging="240"/>
    </w:pPr>
  </w:style>
  <w:style w:type="paragraph" w:styleId="Title">
    <w:name w:val="Title"/>
    <w:basedOn w:val="Normal"/>
    <w:qFormat/>
    <w:pPr>
      <w:spacing w:after="240"/>
      <w:jc w:val="center"/>
    </w:pPr>
    <w:rPr>
      <w:b/>
    </w:rPr>
  </w:style>
  <w:style w:type="paragraph" w:styleId="TOAHeading">
    <w:name w:val="toa heading"/>
    <w:basedOn w:val="Normal"/>
    <w:next w:val="Normal"/>
    <w:semiHidden/>
    <w:pPr>
      <w:spacing w:after="120"/>
    </w:pPr>
    <w:rPr>
      <w:b/>
    </w:rPr>
  </w:style>
  <w:style w:type="paragraph" w:styleId="TOC2">
    <w:name w:val="toc 2"/>
    <w:basedOn w:val="TOC1"/>
    <w:autoRedefine/>
    <w:pPr>
      <w:spacing w:before="0"/>
      <w:ind w:left="720" w:right="720"/>
    </w:pPr>
  </w:style>
  <w:style w:type="paragraph" w:styleId="TOC1">
    <w:name w:val="toc 1"/>
    <w:basedOn w:val="Normal"/>
    <w:autoRedefine/>
    <w:pPr>
      <w:tabs>
        <w:tab w:val="decimal" w:leader="dot" w:pos="9360"/>
      </w:tabs>
      <w:spacing w:before="240"/>
      <w:ind w:left="360" w:hanging="360"/>
    </w:pPr>
    <w:rPr>
      <w:b/>
    </w:rPr>
  </w:style>
  <w:style w:type="paragraph" w:styleId="TOC3">
    <w:name w:val="toc 3"/>
    <w:basedOn w:val="TOC2"/>
    <w:autoRedefine/>
    <w:pPr>
      <w:ind w:left="1080"/>
    </w:pPr>
  </w:style>
  <w:style w:type="paragraph" w:styleId="TOC4">
    <w:name w:val="toc 4"/>
    <w:basedOn w:val="TOC3"/>
    <w:next w:val="Normal"/>
    <w:autoRedefine/>
    <w:semiHidden/>
    <w:pPr>
      <w:ind w:left="1440"/>
    </w:pPr>
  </w:style>
  <w:style w:type="paragraph" w:styleId="TOC5">
    <w:name w:val="toc 5"/>
    <w:basedOn w:val="TOC4"/>
    <w:next w:val="Normal"/>
    <w:autoRedefine/>
    <w:semiHidden/>
    <w:pPr>
      <w:ind w:left="1800"/>
    </w:pPr>
  </w:style>
  <w:style w:type="paragraph" w:styleId="ListBullet">
    <w:name w:val="List Bullet"/>
    <w:basedOn w:val="Normal"/>
    <w:autoRedefine/>
    <w:pPr>
      <w:numPr>
        <w:numId w:val="11"/>
      </w:numPr>
    </w:pPr>
  </w:style>
  <w:style w:type="paragraph" w:styleId="ListBullet3">
    <w:name w:val="List Bullet 3"/>
    <w:basedOn w:val="Normal"/>
    <w:autoRedefine/>
    <w:pPr>
      <w:numPr>
        <w:numId w:val="1"/>
      </w:numPr>
      <w:tabs>
        <w:tab w:val="clear" w:pos="1080"/>
      </w:tabs>
      <w:ind w:left="2160" w:hanging="720"/>
    </w:pPr>
  </w:style>
  <w:style w:type="paragraph" w:styleId="ListBullet4">
    <w:name w:val="List Bullet 4"/>
    <w:basedOn w:val="Normal"/>
    <w:autoRedefine/>
    <w:pPr>
      <w:numPr>
        <w:numId w:val="2"/>
      </w:numPr>
      <w:tabs>
        <w:tab w:val="clear" w:pos="1440"/>
      </w:tabs>
      <w:ind w:left="2880" w:hanging="720"/>
    </w:pPr>
  </w:style>
  <w:style w:type="paragraph" w:styleId="ListBullet5">
    <w:name w:val="List Bullet 5"/>
    <w:basedOn w:val="Normal"/>
    <w:autoRedefine/>
    <w:semiHidden/>
    <w:pPr>
      <w:numPr>
        <w:numId w:val="3"/>
      </w:numPr>
      <w:tabs>
        <w:tab w:val="clear" w:pos="1800"/>
      </w:tabs>
      <w:ind w:left="3600" w:hanging="720"/>
    </w:pPr>
  </w:style>
  <w:style w:type="paragraph" w:styleId="ListNumber3">
    <w:name w:val="List Number 3"/>
    <w:basedOn w:val="ListNumber"/>
    <w:semiHidden/>
    <w:pPr>
      <w:numPr>
        <w:numId w:val="4"/>
      </w:numPr>
      <w:tabs>
        <w:tab w:val="clear" w:pos="1080"/>
      </w:tabs>
      <w:ind w:left="2160" w:hanging="720"/>
    </w:pPr>
  </w:style>
  <w:style w:type="paragraph" w:styleId="ListNumber">
    <w:name w:val="List Number"/>
    <w:basedOn w:val="Normal"/>
    <w:semiHidden/>
    <w:pPr>
      <w:numPr>
        <w:numId w:val="12"/>
      </w:numPr>
    </w:pPr>
  </w:style>
  <w:style w:type="paragraph" w:styleId="ListNumber4">
    <w:name w:val="List Number 4"/>
    <w:basedOn w:val="ListNumber"/>
    <w:semiHidden/>
    <w:pPr>
      <w:numPr>
        <w:numId w:val="5"/>
      </w:numPr>
      <w:tabs>
        <w:tab w:val="clear" w:pos="1440"/>
      </w:tabs>
      <w:ind w:left="2880" w:hanging="720"/>
    </w:pPr>
  </w:style>
  <w:style w:type="paragraph" w:styleId="ListNumber5">
    <w:name w:val="List Number 5"/>
    <w:basedOn w:val="ListNumber"/>
    <w:semiHidden/>
    <w:pPr>
      <w:numPr>
        <w:numId w:val="6"/>
      </w:numPr>
      <w:tabs>
        <w:tab w:val="clear" w:pos="1800"/>
      </w:tabs>
      <w:ind w:left="3600" w:hanging="720"/>
    </w:pPr>
  </w:style>
  <w:style w:type="paragraph" w:styleId="NoteHeading">
    <w:name w:val="Note Heading"/>
    <w:basedOn w:val="Normal"/>
    <w:next w:val="Normal"/>
  </w:style>
  <w:style w:type="paragraph" w:styleId="TOC9">
    <w:name w:val="toc 9"/>
    <w:basedOn w:val="TOC8"/>
    <w:next w:val="Normal"/>
    <w:autoRedefine/>
    <w:semiHidden/>
    <w:pPr>
      <w:ind w:left="3240"/>
    </w:pPr>
  </w:style>
  <w:style w:type="paragraph" w:styleId="TOC8">
    <w:name w:val="toc 8"/>
    <w:basedOn w:val="TOC7"/>
    <w:next w:val="Normal"/>
    <w:autoRedefine/>
    <w:semiHidden/>
    <w:pPr>
      <w:ind w:left="2880"/>
    </w:pPr>
  </w:style>
  <w:style w:type="paragraph" w:styleId="TOC7">
    <w:name w:val="toc 7"/>
    <w:basedOn w:val="TOC6"/>
    <w:next w:val="Normal"/>
    <w:autoRedefine/>
    <w:semiHidden/>
    <w:pPr>
      <w:ind w:left="2520"/>
    </w:pPr>
  </w:style>
  <w:style w:type="paragraph" w:styleId="TOC6">
    <w:name w:val="toc 6"/>
    <w:basedOn w:val="TOC5"/>
    <w:next w:val="Normal"/>
    <w:autoRedefine/>
    <w:semiHidden/>
    <w:pPr>
      <w:ind w:left="2160"/>
    </w:pPr>
  </w:style>
  <w:style w:type="paragraph" w:styleId="Salutation">
    <w:name w:val="Salutation"/>
    <w:basedOn w:val="Normal"/>
    <w:next w:val="Normal"/>
  </w:style>
  <w:style w:type="paragraph" w:styleId="ListNumber2">
    <w:name w:val="List Number 2"/>
    <w:basedOn w:val="ListNumber"/>
    <w:semiHidden/>
    <w:pPr>
      <w:numPr>
        <w:numId w:val="0"/>
      </w:numPr>
      <w:tabs>
        <w:tab w:val="num" w:pos="1800"/>
      </w:tabs>
      <w:ind w:left="1440" w:hanging="720"/>
    </w:pPr>
  </w:style>
  <w:style w:type="paragraph" w:styleId="List5">
    <w:name w:val="List 5"/>
    <w:basedOn w:val="List4"/>
    <w:semiHidden/>
    <w:pPr>
      <w:ind w:left="3600"/>
    </w:pPr>
  </w:style>
  <w:style w:type="paragraph" w:styleId="List4">
    <w:name w:val="List 4"/>
    <w:basedOn w:val="List3"/>
    <w:semiHidden/>
    <w:pPr>
      <w:ind w:left="2880"/>
    </w:pPr>
  </w:style>
  <w:style w:type="paragraph" w:styleId="List3">
    <w:name w:val="List 3"/>
    <w:basedOn w:val="List2"/>
    <w:semiHidden/>
    <w:pPr>
      <w:ind w:left="2160"/>
    </w:pPr>
  </w:style>
  <w:style w:type="paragraph" w:styleId="List2">
    <w:name w:val="List 2"/>
    <w:basedOn w:val="List1"/>
    <w:semiHidden/>
    <w:pPr>
      <w:ind w:left="1440"/>
    </w:pPr>
  </w:style>
  <w:style w:type="paragraph" w:styleId="List1" w:customStyle="1">
    <w:name w:val="List 1"/>
    <w:basedOn w:val="List"/>
    <w:semiHidden/>
    <w:pPr>
      <w:ind w:left="720" w:hanging="720"/>
    </w:pPr>
  </w:style>
  <w:style w:type="paragraph" w:styleId="List">
    <w:name w:val="List"/>
    <w:basedOn w:val="Normal"/>
    <w:semiHidden/>
  </w:style>
  <w:style w:type="paragraph" w:styleId="Date">
    <w:name w:val="Date"/>
    <w:basedOn w:val="Normal"/>
    <w:next w:val="Normal"/>
  </w:style>
  <w:style w:type="paragraph" w:styleId="ListBullet2">
    <w:name w:val="List Bullet 2"/>
    <w:basedOn w:val="Normal"/>
    <w:autoRedefine/>
    <w:pPr>
      <w:numPr>
        <w:numId w:val="7"/>
      </w:numPr>
      <w:tabs>
        <w:tab w:val="clear" w:pos="720"/>
      </w:tabs>
      <w:ind w:left="1440" w:hanging="720"/>
    </w:pPr>
  </w:style>
  <w:style w:type="paragraph" w:styleId="Subtitle">
    <w:name w:val="Subtitle"/>
    <w:basedOn w:val="Normal"/>
    <w:qFormat/>
    <w:pPr>
      <w:spacing w:after="60"/>
      <w:jc w:val="center"/>
    </w:pPr>
  </w:style>
  <w:style w:type="paragraph" w:styleId="Signature">
    <w:name w:val="Signature"/>
    <w:basedOn w:val="Normal"/>
    <w:pPr>
      <w:ind w:left="4320"/>
    </w:pPr>
  </w:style>
  <w:style w:type="paragraph" w:styleId="Address" w:customStyle="1">
    <w:name w:val="Address"/>
    <w:basedOn w:val="Normal"/>
    <w:next w:val="Normal"/>
  </w:style>
  <w:style w:type="paragraph" w:styleId="ccList" w:customStyle="1">
    <w:name w:val="cc List"/>
    <w:basedOn w:val="Normal"/>
    <w:next w:val="Normal"/>
  </w:style>
  <w:style w:type="paragraph" w:styleId="Enclosure" w:customStyle="1">
    <w:name w:val="Enclosure"/>
    <w:basedOn w:val="Normal"/>
    <w:next w:val="Normal"/>
    <w:pPr>
      <w:spacing w:after="240"/>
    </w:pPr>
  </w:style>
  <w:style w:type="paragraph" w:styleId="Initials" w:customStyle="1">
    <w:name w:val="Initials"/>
    <w:basedOn w:val="Normal"/>
    <w:next w:val="Normal"/>
    <w:pPr>
      <w:spacing w:after="240"/>
    </w:pPr>
  </w:style>
  <w:style w:type="paragraph" w:styleId="Privacy" w:customStyle="1">
    <w:name w:val="Privacy"/>
    <w:basedOn w:val="Normal"/>
    <w:next w:val="Normal"/>
    <w:semiHidden/>
    <w:pPr>
      <w:spacing w:before="240" w:after="240"/>
      <w:jc w:val="center"/>
    </w:pPr>
    <w:rPr>
      <w:b/>
    </w:rPr>
  </w:style>
  <w:style w:type="paragraph" w:styleId="ReLine" w:customStyle="1">
    <w:name w:val="Re Line"/>
    <w:basedOn w:val="Normal"/>
    <w:next w:val="Normal"/>
    <w:pPr>
      <w:spacing w:before="240" w:after="240"/>
      <w:ind w:left="2880" w:hanging="1440"/>
    </w:pPr>
  </w:style>
  <w:style w:type="paragraph" w:styleId="QuoteContinued" w:customStyle="1">
    <w:name w:val="Quote Continued"/>
    <w:aliases w:val="qc"/>
    <w:basedOn w:val="BodyTextBLLP"/>
    <w:next w:val="BodyTextBLLP"/>
    <w:pPr>
      <w:ind w:firstLine="0"/>
    </w:pPr>
  </w:style>
  <w:style w:type="paragraph" w:styleId="BodyTextBLLP" w:customStyle="1">
    <w:name w:val="Body Text BLLP"/>
    <w:aliases w:val="bt"/>
    <w:basedOn w:val="Normal"/>
    <w:link w:val="BodyTextBLLPChar"/>
    <w:pPr>
      <w:spacing w:after="240"/>
      <w:ind w:firstLine="720"/>
    </w:pPr>
  </w:style>
  <w:style w:type="character" w:styleId="CommentReference">
    <w:name w:val="annotation reference"/>
    <w:basedOn w:val="DefaultParagraphFont"/>
    <w:semiHidden/>
    <w:rPr>
      <w:rFonts w:ascii="Times New Roman" w:hAnsi="Times New Roman"/>
      <w:color w:val="FF0000"/>
      <w:sz w:val="16"/>
    </w:rPr>
  </w:style>
  <w:style w:type="paragraph" w:styleId="FooterLandscape" w:customStyle="1">
    <w:name w:val="Footer Landscape"/>
    <w:basedOn w:val="Normal"/>
    <w:pPr>
      <w:tabs>
        <w:tab w:val="center" w:pos="6480"/>
        <w:tab w:val="right" w:pos="12960"/>
      </w:tabs>
    </w:pPr>
  </w:style>
  <w:style w:type="paragraph" w:styleId="HeaderLandscape" w:customStyle="1">
    <w:name w:val="Header Landscape"/>
    <w:basedOn w:val="Normal"/>
    <w:pPr>
      <w:tabs>
        <w:tab w:val="center" w:pos="6480"/>
        <w:tab w:val="right" w:pos="12960"/>
      </w:tabs>
    </w:pPr>
  </w:style>
  <w:style w:type="paragraph" w:styleId="BelowDate" w:customStyle="1">
    <w:name w:val="BelowDate"/>
    <w:basedOn w:val="Normal"/>
    <w:semiHidden/>
    <w:pPr>
      <w:framePr w:hSpace="187" w:wrap="notBeside" w:hAnchor="text" w:vAnchor="page" w:xAlign="center" w:y="3241"/>
      <w:jc w:val="center"/>
    </w:pPr>
  </w:style>
  <w:style w:type="character" w:styleId="FootnoteReference">
    <w:name w:val="footnote reference"/>
    <w:basedOn w:val="DefaultParagraphFont"/>
    <w:rPr>
      <w:color w:val="auto"/>
      <w:position w:val="6"/>
      <w:sz w:val="18"/>
    </w:rPr>
  </w:style>
  <w:style w:type="paragraph" w:styleId="heading1notoc" w:customStyle="1">
    <w:name w:val="heading 1 (no toc)"/>
    <w:basedOn w:val="Heading1"/>
    <w:next w:val="BodyTextBLLP"/>
    <w:pPr>
      <w:outlineLvl w:val="9"/>
    </w:pPr>
  </w:style>
  <w:style w:type="paragraph" w:styleId="heading2notoc" w:customStyle="1">
    <w:name w:val="heading 2 (no toc)"/>
    <w:basedOn w:val="Heading2"/>
    <w:next w:val="BodyTextBLLP"/>
    <w:pPr>
      <w:outlineLvl w:val="9"/>
    </w:pPr>
  </w:style>
  <w:style w:type="paragraph" w:styleId="heading3notoc" w:customStyle="1">
    <w:name w:val="heading 3 (no toc)"/>
    <w:basedOn w:val="Heading3"/>
    <w:next w:val="BodyTextBLLP"/>
    <w:pPr>
      <w:outlineLvl w:val="9"/>
    </w:pPr>
  </w:style>
  <w:style w:type="paragraph" w:styleId="heading4notoc" w:customStyle="1">
    <w:name w:val="heading 4 (no toc)"/>
    <w:basedOn w:val="Heading4"/>
    <w:next w:val="BodyTextBLLP"/>
    <w:pPr>
      <w:outlineLvl w:val="9"/>
    </w:pPr>
  </w:style>
  <w:style w:type="paragraph" w:styleId="heading5notoc" w:customStyle="1">
    <w:name w:val="heading 5 (no toc)"/>
    <w:basedOn w:val="Heading5"/>
    <w:next w:val="BodyTextBLLP"/>
    <w:pPr>
      <w:outlineLvl w:val="9"/>
    </w:pPr>
  </w:style>
  <w:style w:type="character" w:styleId="LineNumber">
    <w:name w:val="line number"/>
    <w:basedOn w:val="DefaultParagraphFont"/>
  </w:style>
  <w:style w:type="paragraph" w:styleId="List1d" w:customStyle="1">
    <w:name w:val="List 1.d"/>
    <w:basedOn w:val="List1"/>
    <w:semiHidden/>
    <w:pPr>
      <w:tabs>
        <w:tab w:val="decimal" w:pos="1080"/>
      </w:tabs>
      <w:ind w:left="1440" w:hanging="1440"/>
    </w:pPr>
  </w:style>
  <w:style w:type="paragraph" w:styleId="List2d" w:customStyle="1">
    <w:name w:val="List 2.d"/>
    <w:basedOn w:val="List2"/>
    <w:semiHidden/>
    <w:pPr>
      <w:tabs>
        <w:tab w:val="decimal" w:pos="1800"/>
      </w:tabs>
      <w:ind w:left="2160" w:hanging="1440"/>
    </w:pPr>
  </w:style>
  <w:style w:type="paragraph" w:styleId="List3d" w:customStyle="1">
    <w:name w:val="List 3.d"/>
    <w:basedOn w:val="List3"/>
    <w:semiHidden/>
    <w:pPr>
      <w:tabs>
        <w:tab w:val="decimal" w:pos="2520"/>
      </w:tabs>
      <w:ind w:left="2880" w:hanging="1440"/>
    </w:pPr>
  </w:style>
  <w:style w:type="paragraph" w:styleId="List4d" w:customStyle="1">
    <w:name w:val="List 4.d"/>
    <w:basedOn w:val="List4"/>
    <w:semiHidden/>
    <w:pPr>
      <w:tabs>
        <w:tab w:val="decimal" w:pos="3240"/>
      </w:tabs>
      <w:ind w:left="3600" w:hanging="1440"/>
    </w:pPr>
  </w:style>
  <w:style w:type="paragraph" w:styleId="List5d" w:customStyle="1">
    <w:name w:val="List 5.d"/>
    <w:basedOn w:val="List5"/>
    <w:semiHidden/>
    <w:pPr>
      <w:tabs>
        <w:tab w:val="decimal" w:pos="3960"/>
      </w:tabs>
      <w:ind w:left="4320" w:hanging="144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Plain" w:customStyle="1">
    <w:name w:val="Plain"/>
    <w:semiHidden/>
    <w:pPr>
      <w:spacing w:line="240" w:lineRule="exact"/>
    </w:pPr>
    <w:rPr>
      <w:sz w:val="24"/>
    </w:rPr>
  </w:style>
  <w:style w:type="paragraph" w:styleId="Quote1" w:customStyle="1">
    <w:name w:val="Quote1"/>
    <w:aliases w:val="q"/>
    <w:basedOn w:val="Normal"/>
    <w:next w:val="QuoteContinued"/>
    <w:pPr>
      <w:spacing w:after="240"/>
      <w:ind w:left="1440" w:right="1440"/>
    </w:pPr>
  </w:style>
  <w:style w:type="paragraph" w:styleId="QuoteDoubleSpace" w:customStyle="1">
    <w:name w:val="Quote DoubleSpace"/>
    <w:aliases w:val="qd"/>
    <w:basedOn w:val="Quote1"/>
    <w:next w:val="QuoteContinued"/>
    <w:pPr>
      <w:spacing w:after="0" w:line="480" w:lineRule="auto"/>
    </w:pPr>
  </w:style>
  <w:style w:type="paragraph" w:styleId="RecipientTitle" w:customStyle="1">
    <w:name w:val="RecipientTitle"/>
    <w:basedOn w:val="Normal"/>
  </w:style>
  <w:style w:type="paragraph" w:styleId="Recital" w:customStyle="1">
    <w:name w:val="Recital"/>
    <w:basedOn w:val="Normal"/>
    <w:next w:val="Normal"/>
    <w:pPr>
      <w:spacing w:before="480" w:after="240"/>
      <w:jc w:val="center"/>
    </w:pPr>
    <w:rPr>
      <w:caps/>
      <w:u w:val="words"/>
    </w:rPr>
  </w:style>
  <w:style w:type="paragraph" w:styleId="DocumentMap">
    <w:name w:val="Document Map"/>
    <w:basedOn w:val="Normal"/>
    <w:semiHidden/>
    <w:rPr>
      <w:rFonts w:ascii="Tahoma" w:hAnsi="Tahoma"/>
    </w:rPr>
  </w:style>
  <w:style w:type="character" w:styleId="Emphasis">
    <w:name w:val="Emphasis"/>
    <w:basedOn w:val="DefaultParagraphFont"/>
    <w:qFormat/>
    <w:rPr>
      <w:i/>
    </w:rPr>
  </w:style>
  <w:style w:type="character" w:styleId="EndnoteReference">
    <w:name w:val="endnote reference"/>
    <w:basedOn w:val="DefaultParagraphFont"/>
    <w:semiHidden/>
    <w:rPr>
      <w:vertAlign w:val="superscript"/>
    </w:rPr>
  </w:style>
  <w:style w:type="character" w:styleId="FollowedHyperlink">
    <w:name w:val="FollowedHyperlink"/>
    <w:basedOn w:val="DefaultParagraphFont"/>
    <w:semiHidden/>
    <w:rPr>
      <w:color w:val="800080"/>
      <w:u w:val="single"/>
    </w:rPr>
  </w:style>
  <w:style w:type="paragraph" w:styleId="ListBullet1" w:customStyle="1">
    <w:name w:val="List Bullet 1"/>
    <w:basedOn w:val="Normal"/>
    <w:autoRedefine/>
    <w:pPr>
      <w:numPr>
        <w:numId w:val="8"/>
      </w:numPr>
      <w:tabs>
        <w:tab w:val="clear" w:pos="360"/>
      </w:tabs>
      <w:ind w:left="720" w:hanging="720"/>
    </w:pPr>
  </w:style>
  <w:style w:type="paragraph" w:styleId="ListNumber1" w:customStyle="1">
    <w:name w:val="List Number 1"/>
    <w:basedOn w:val="ListNumber"/>
    <w:semiHidden/>
    <w:pPr>
      <w:numPr>
        <w:numId w:val="9"/>
      </w:numPr>
      <w:tabs>
        <w:tab w:val="clear" w:pos="360"/>
      </w:tabs>
      <w:ind w:left="720" w:hanging="720"/>
    </w:pPr>
  </w:style>
  <w:style w:type="character" w:styleId="Hyperlink">
    <w:name w:val="Hyperlink"/>
    <w:basedOn w:val="DefaultParagraphFont"/>
    <w:semiHidden/>
    <w:rPr>
      <w:color w:val="0000FF"/>
      <w:u w:val="single"/>
    </w:rPr>
  </w:style>
  <w:style w:type="paragraph" w:styleId="MessageHeader">
    <w:name w:val="Message Header"/>
    <w:basedOn w:val="Normal"/>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rPr>
  </w:style>
  <w:style w:type="character" w:styleId="Strong">
    <w:name w:val="Strong"/>
    <w:basedOn w:val="DefaultParagraphFont"/>
    <w:qFormat/>
    <w:rPr>
      <w:b/>
    </w:rPr>
  </w:style>
  <w:style w:type="paragraph" w:styleId="PlainText">
    <w:name w:val="Plain Text"/>
    <w:basedOn w:val="Normal"/>
    <w:semiHidden/>
    <w:rPr>
      <w:rFonts w:ascii="Courier New" w:hAnsi="Courier New"/>
      <w:sz w:val="20"/>
    </w:rPr>
  </w:style>
  <w:style w:type="paragraph" w:styleId="DocID" w:customStyle="1">
    <w:name w:val="DocID"/>
    <w:basedOn w:val="Footer"/>
    <w:next w:val="Footer"/>
    <w:link w:val="DocIDChar"/>
    <w:rsid w:val="00385A82"/>
    <w:pPr>
      <w:tabs>
        <w:tab w:val="clear" w:pos="4680"/>
        <w:tab w:val="clear" w:pos="9360"/>
      </w:tabs>
      <w:jc w:val="right"/>
    </w:pPr>
  </w:style>
  <w:style w:type="character" w:styleId="ParaNum" w:customStyle="1">
    <w:name w:val="ParaNum"/>
    <w:basedOn w:val="DefaultParagraphFont"/>
  </w:style>
  <w:style w:type="paragraph" w:styleId="Singlespace" w:customStyle="1">
    <w:name w:val="Singlespace"/>
    <w:aliases w:val="ss"/>
    <w:basedOn w:val="Normal"/>
  </w:style>
  <w:style w:type="paragraph" w:styleId="Centerbold" w:customStyle="1">
    <w:name w:val="Centerbold"/>
    <w:aliases w:val="cb"/>
    <w:basedOn w:val="Normal"/>
    <w:pPr>
      <w:spacing w:after="240"/>
      <w:jc w:val="center"/>
    </w:pPr>
    <w:rPr>
      <w:b/>
    </w:rPr>
  </w:style>
  <w:style w:type="numbering" w:styleId="111111">
    <w:name w:val="Outline List 2"/>
    <w:basedOn w:val="NoList"/>
    <w:semiHidden/>
    <w:pPr>
      <w:numPr>
        <w:numId w:val="13"/>
      </w:numPr>
    </w:pPr>
  </w:style>
  <w:style w:type="numbering" w:styleId="1ai">
    <w:name w:val="Outline List 1"/>
    <w:basedOn w:val="NoList"/>
    <w:semiHidden/>
    <w:pPr>
      <w:numPr>
        <w:numId w:val="14"/>
      </w:numPr>
    </w:pPr>
  </w:style>
  <w:style w:type="numbering" w:styleId="ArticleSection">
    <w:name w:val="Outline List 3"/>
    <w:basedOn w:val="NoList"/>
    <w:semiHidden/>
    <w:pPr>
      <w:numPr>
        <w:numId w:val="15"/>
      </w:numPr>
    </w:pPr>
  </w:style>
  <w:style w:type="paragraph" w:styleId="E-mailSignature">
    <w:name w:val="E-mail Signature"/>
    <w:basedOn w:val="Normal"/>
    <w:semiHidden/>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basedOn w:val="DefaultParagraphFont"/>
    <w:semiHidden/>
    <w:rPr>
      <w:i/>
      <w:iCs/>
    </w:rPr>
  </w:style>
  <w:style w:type="character" w:styleId="HTMLCode">
    <w:name w:val="HTML Code"/>
    <w:basedOn w:val="DefaultParagraphFont"/>
    <w:semiHidden/>
    <w:rPr>
      <w:rFonts w:ascii="Courier New" w:hAnsi="Courier New" w:cs="Courier New"/>
      <w:sz w:val="20"/>
      <w:szCs w:val="20"/>
    </w:rPr>
  </w:style>
  <w:style w:type="character" w:styleId="HTMLDefinition">
    <w:name w:val="HTML Definition"/>
    <w:basedOn w:val="DefaultParagraphFont"/>
    <w:semiHidden/>
    <w:rPr>
      <w:i/>
      <w:iCs/>
    </w:rPr>
  </w:style>
  <w:style w:type="character" w:styleId="HTMLKeyboard">
    <w:name w:val="HTML Keyboard"/>
    <w:basedOn w:val="DefaultParagraphFont"/>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basedOn w:val="DefaultParagraphFont"/>
    <w:semiHidden/>
    <w:rPr>
      <w:rFonts w:ascii="Courier New" w:hAnsi="Courier New" w:cs="Courier New"/>
    </w:rPr>
  </w:style>
  <w:style w:type="character" w:styleId="HTMLTypewriter">
    <w:name w:val="HTML Typewriter"/>
    <w:basedOn w:val="DefaultParagraphFont"/>
    <w:semiHidden/>
    <w:rPr>
      <w:rFonts w:ascii="Courier New" w:hAnsi="Courier New" w:cs="Courier New"/>
      <w:sz w:val="20"/>
      <w:szCs w:val="20"/>
    </w:rPr>
  </w:style>
  <w:style w:type="character" w:styleId="HTMLVariable">
    <w:name w:val="HTML Variable"/>
    <w:basedOn w:val="DefaultParagraphFont"/>
    <w:semiHidden/>
    <w:rPr>
      <w:i/>
      <w:iCs/>
    </w:rPr>
  </w:style>
  <w:style w:type="paragraph" w:styleId="NormalWeb">
    <w:name w:val="Normal (Web)"/>
    <w:basedOn w:val="Normal"/>
    <w:semiHidden/>
    <w:rPr>
      <w:szCs w:val="24"/>
    </w:rPr>
  </w:style>
  <w:style w:type="paragraph" w:styleId="NormalIndent">
    <w:name w:val="Normal Indent"/>
    <w:basedOn w:val="Normal"/>
    <w:semiHidden/>
    <w:pPr>
      <w:ind w:left="720"/>
    </w:p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semiHidden/>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semiHidden/>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character" w:styleId="CommentTextChar" w:customStyle="1">
    <w:name w:val="Comment Text Char"/>
    <w:basedOn w:val="DefaultParagraphFont"/>
    <w:link w:val="CommentText"/>
    <w:semiHidden/>
    <w:rsid w:val="0030624C"/>
    <w:rPr>
      <w:sz w:val="24"/>
    </w:rPr>
  </w:style>
  <w:style w:type="character" w:styleId="BodyTextBLLPChar" w:customStyle="1">
    <w:name w:val="Body Text BLLP Char"/>
    <w:aliases w:val="bt Char"/>
    <w:basedOn w:val="DefaultParagraphFont"/>
    <w:link w:val="BodyTextBLLP"/>
    <w:rsid w:val="00385A82"/>
    <w:rPr>
      <w:sz w:val="24"/>
    </w:rPr>
  </w:style>
  <w:style w:type="character" w:styleId="DocIDChar" w:customStyle="1">
    <w:name w:val="DocID Char"/>
    <w:basedOn w:val="BodyTextBLLPChar"/>
    <w:link w:val="DocID"/>
    <w:rsid w:val="00385A82"/>
    <w:rPr>
      <w:sz w:val="16"/>
      <w:lang w:val="en-US" w:eastAsia="en-US"/>
    </w:rPr>
  </w:style>
  <w:style w:type="paragraph" w:styleId="CommentSubject">
    <w:name w:val="annotation subject"/>
    <w:basedOn w:val="CommentText"/>
    <w:next w:val="CommentText"/>
    <w:link w:val="CommentSubjectChar"/>
    <w:uiPriority w:val="99"/>
    <w:semiHidden/>
    <w:unhideWhenUsed/>
    <w:rsid w:val="007F535E"/>
    <w:rPr>
      <w:b/>
      <w:bCs/>
      <w:sz w:val="20"/>
    </w:rPr>
  </w:style>
  <w:style w:type="character" w:styleId="CommentSubjectChar" w:customStyle="1">
    <w:name w:val="Comment Subject Char"/>
    <w:basedOn w:val="CommentTextChar"/>
    <w:link w:val="CommentSubject"/>
    <w:uiPriority w:val="99"/>
    <w:semiHidden/>
    <w:rsid w:val="007F535E"/>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yperlink" Target="https://sdnsearch.ofac.treas.gov/"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File Size">
    <vt:lpwstr>Small (10-100kb)|055d9e1d-36cb-4e22-8f96-dfbba77da38c</vt:lpwstr>
  </op:property>
  <op:property fmtid="{D5CDD505-2E9C-101B-9397-08002B2CF9AE}" pid="3" name="File Type">
    <vt:lpwstr>Word|f8086318-a6b5-44e0-8a9d-e57006ac2513</vt:lpwstr>
  </op:property>
  <op:property fmtid="{D5CDD505-2E9C-101B-9397-08002B2CF9AE}" pid="4" name="Last Accessed">
    <vt:lpwstr>0 - 1 Years|edca5462-9a3d-482b-a2b3-82462d7a9b1a</vt:lpwstr>
  </op:property>
  <op:property fmtid="{D5CDD505-2E9C-101B-9397-08002B2CF9AE}" pid="5" name="Last Modified">
    <vt:lpwstr>0-1 Years|735b7117-e2ed-451e-82cd-94efcc6e5c00</vt:lpwstr>
  </op:property>
</op:Properties>
</file>